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="276" w:lineRule="auto"/>
        <w:rPr>
          <w:rFonts w:ascii="Inter" w:cs="Inter" w:eastAsia="Inter" w:hAnsi="Inter"/>
          <w:b w:val="1"/>
          <w:color w:val="09090b"/>
          <w:sz w:val="40"/>
          <w:szCs w:val="40"/>
        </w:rPr>
      </w:pPr>
      <w:bookmarkStart w:colFirst="0" w:colLast="0" w:name="_gv9z8wehjb7i" w:id="0"/>
      <w:bookmarkEnd w:id="0"/>
      <w:hyperlink r:id="rId6">
        <w:r w:rsidDel="00000000" w:rsidR="00000000" w:rsidRPr="00000000">
          <w:rPr>
            <w:rFonts w:ascii="Inter" w:cs="Inter" w:eastAsia="Inter" w:hAnsi="Inter"/>
            <w:b w:val="1"/>
            <w:color w:val="1155cc"/>
            <w:u w:val="single"/>
          </w:rPr>
          <w:drawing>
            <wp:inline distB="0" distT="0" distL="0" distR="0">
              <wp:extent cx="5731200" cy="6477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636" l="0" r="0" t="63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Fonts w:ascii="Inter" w:cs="Inter" w:eastAsia="Inter" w:hAnsi="Inter"/>
          <w:b w:val="1"/>
          <w:color w:val="09090b"/>
          <w:sz w:val="40"/>
          <w:szCs w:val="40"/>
          <w:rtl w:val="0"/>
        </w:rPr>
        <w:t xml:space="preserve">Roteiro para a transformação digital - Modelo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Bem-vindo ao seu modelo de roteiro para a transformação digital. Siga este guia para planejar, priorizar e executar iniciativas digitais em diferentes áreas da sua organização.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Você encontrará instruções, exemplos e tabelas preenchíveis. É possível copiar e colar o conteúdo no seu ambiente de trabalho ou transformá-lo em um documento compartilhado.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Obrigado por baixar este modelo! Para obter mais informações, visite-nos em </w:t>
      </w:r>
      <w:hyperlink r:id="rId8">
        <w:r w:rsidDel="00000000" w:rsidR="00000000" w:rsidRPr="00000000">
          <w:rPr>
            <w:rFonts w:ascii="Inter" w:cs="Inter" w:eastAsia="Inter" w:hAnsi="Inter"/>
            <w:color w:val="1155cc"/>
            <w:u w:val="single"/>
            <w:rtl w:val="0"/>
          </w:rPr>
          <w:t xml:space="preserve">www.invgate.com</w:t>
        </w:r>
      </w:hyperlink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before="280" w:line="276" w:lineRule="auto"/>
        <w:rPr>
          <w:rFonts w:ascii="Inter" w:cs="Inter" w:eastAsia="Inter" w:hAnsi="Inter"/>
          <w:b w:val="1"/>
          <w:color w:val="27272a"/>
          <w:sz w:val="28"/>
          <w:szCs w:val="28"/>
        </w:rPr>
      </w:pPr>
      <w:bookmarkStart w:colFirst="0" w:colLast="0" w:name="_gz8naf3mklg9" w:id="1"/>
      <w:bookmarkEnd w:id="1"/>
      <w:r w:rsidDel="00000000" w:rsidR="00000000" w:rsidRPr="00000000">
        <w:rPr>
          <w:rFonts w:ascii="Inter" w:cs="Inter" w:eastAsia="Inter" w:hAnsi="Inter"/>
          <w:b w:val="1"/>
          <w:color w:val="27272a"/>
          <w:sz w:val="26"/>
          <w:szCs w:val="26"/>
          <w:rtl w:val="0"/>
        </w:rPr>
        <w:t xml:space="preserve">🔹</w:t>
      </w:r>
      <w:r w:rsidDel="00000000" w:rsidR="00000000" w:rsidRPr="00000000">
        <w:rPr>
          <w:rFonts w:ascii="Inter" w:cs="Inter" w:eastAsia="Inter" w:hAnsi="Inter"/>
          <w:b w:val="1"/>
          <w:color w:val="27272a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b w:val="1"/>
          <w:color w:val="27272a"/>
          <w:sz w:val="28"/>
          <w:szCs w:val="28"/>
          <w:rtl w:val="0"/>
        </w:rPr>
        <w:t xml:space="preserve">Etapa 1: Defina a iniciativa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Comece definindo o escopo de cada iniciativa. Não é necessário abranger toda a empresa. Você pode estruturar iniciativas separadas para TI, RH, operações ou equipes de atendimento ao cliente. O mais importante é ser específico sobre o que está sendo transformado e por quê.</w:t>
      </w: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6930"/>
        <w:tblGridChange w:id="0">
          <w:tblGrid>
            <w:gridCol w:w="2775"/>
            <w:gridCol w:w="6930"/>
          </w:tblGrid>
        </w:tblGridChange>
      </w:tblGrid>
      <w:tr>
        <w:trPr>
          <w:cantSplit w:val="0"/>
          <w:trHeight w:val="515" w:hRule="atLeast"/>
          <w:tblHeader w:val="1"/>
        </w:trPr>
        <w:tc>
          <w:tcPr>
            <w:tcBorders>
              <w:top w:color="c9daf8" w:space="0" w:sz="4" w:val="single"/>
              <w:left w:color="c9daf8" w:space="0" w:sz="4" w:val="single"/>
              <w:bottom w:color="c9daf8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Campo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c9daf8" w:space="0" w:sz="4" w:val="single"/>
              <w:right w:color="c9daf8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Nome do Projeto / Iniciativa</w:t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Rótulo </w:t>
            </w: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curto para identificar o roteiro (ex: “Modernização dos Processos de RH” ou “Portal Unificado de Serviços”).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Departamento / 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Área do negócio à qual o </w:t>
            </w: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roteiro</w:t>
            </w: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 está associado.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Objetivo de Negócio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Meta clara e mensurável que este roteiro busca alcançar.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Data de Início / 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Cronograma previsto.</w:t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before="280" w:line="276" w:lineRule="auto"/>
        <w:rPr>
          <w:rFonts w:ascii="Inter" w:cs="Inter" w:eastAsia="Inter" w:hAnsi="Inter"/>
          <w:i w:val="1"/>
          <w:color w:val="27272a"/>
        </w:rPr>
      </w:pPr>
      <w:bookmarkStart w:colFirst="0" w:colLast="0" w:name="_hdaqyqyw5n3f" w:id="2"/>
      <w:bookmarkEnd w:id="2"/>
      <w:r w:rsidDel="00000000" w:rsidR="00000000" w:rsidRPr="00000000">
        <w:rPr>
          <w:rFonts w:ascii="Inter" w:cs="Inter" w:eastAsia="Inter" w:hAnsi="Inter"/>
          <w:b w:val="1"/>
          <w:color w:val="27272a"/>
          <w:sz w:val="28"/>
          <w:szCs w:val="28"/>
          <w:rtl w:val="0"/>
        </w:rPr>
        <w:t xml:space="preserve">🔹 </w:t>
      </w:r>
      <w:r w:rsidDel="00000000" w:rsidR="00000000" w:rsidRPr="00000000">
        <w:rPr>
          <w:rFonts w:ascii="Inter" w:cs="Inter" w:eastAsia="Inter" w:hAnsi="Inter"/>
          <w:b w:val="1"/>
          <w:color w:val="27272a"/>
          <w:sz w:val="26"/>
          <w:szCs w:val="26"/>
          <w:rtl w:val="0"/>
        </w:rPr>
        <w:t xml:space="preserve">Etapa 2: Divida em fases</w:t>
        <w:br w:type="textWrapping"/>
      </w:r>
      <w:r w:rsidDel="00000000" w:rsidR="00000000" w:rsidRPr="00000000">
        <w:rPr>
          <w:rFonts w:ascii="Inter" w:cs="Inter" w:eastAsia="Inter" w:hAnsi="Inter"/>
          <w:color w:val="27272a"/>
          <w:sz w:val="22"/>
          <w:szCs w:val="22"/>
          <w:rtl w:val="0"/>
        </w:rPr>
        <w:t xml:space="preserve">Cada fase deve ter um objetivo claro, algumas atividades de suporte e uma forma de medir o progresso. Você pode definir de 2 a 4 fases por iniciativa, dependendo da sua complexidade.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rFonts w:ascii="Inter" w:cs="Inter" w:eastAsia="Inter" w:hAnsi="Inter"/>
          <w:b w:val="1"/>
          <w:color w:val="27272a"/>
          <w:sz w:val="26"/>
          <w:szCs w:val="26"/>
        </w:rPr>
      </w:pPr>
      <w:r w:rsidDel="00000000" w:rsidR="00000000" w:rsidRPr="00000000">
        <w:rPr>
          <w:rFonts w:ascii="Inter" w:cs="Inter" w:eastAsia="Inter" w:hAnsi="Inter"/>
          <w:i w:val="1"/>
          <w:color w:val="27272a"/>
          <w:rtl w:val="0"/>
        </w:rPr>
        <w:t xml:space="preserve">Dica: mantenha os objetivos bem específicos. “Melhorar a velocidade de entrega dos serviços em 30%” é mais útil do que “modernizar as operações”.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540" w:tblpY="0"/>
        <w:tblW w:w="10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1695"/>
        <w:gridCol w:w="1575"/>
        <w:gridCol w:w="1755"/>
        <w:gridCol w:w="1755"/>
        <w:gridCol w:w="1980"/>
        <w:tblGridChange w:id="0">
          <w:tblGrid>
            <w:gridCol w:w="1350"/>
            <w:gridCol w:w="1695"/>
            <w:gridCol w:w="1575"/>
            <w:gridCol w:w="1755"/>
            <w:gridCol w:w="1755"/>
            <w:gridCol w:w="198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c9daf8" w:space="0" w:sz="4" w:val="single"/>
              <w:left w:color="c9daf8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7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Atividades Principais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8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Ferramentas / Facilitadores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Partes Interessadas</w:t>
            </w:r>
          </w:p>
        </w:tc>
        <w:tc>
          <w:tcPr>
            <w:tcBorders>
              <w:top w:color="c9daf8" w:space="0" w:sz="4" w:val="single"/>
              <w:left w:color="a1a1aa" w:space="0" w:sz="4" w:val="single"/>
              <w:bottom w:color="a1a1aa" w:space="0" w:sz="4" w:val="single"/>
              <w:right w:color="c9daf8" w:space="0" w:sz="4" w:val="single"/>
            </w:tcBorders>
            <w:shd w:fill="dbeafe" w:val="clear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Métricas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2.840820312499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Fase 1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Exemplo: Mapear fluxos de trabalho existentes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Conduzir entrevistas, documentar pontos de contato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Ferramenta de mapeamento de fluxos</w:t>
            </w:r>
          </w:p>
          <w:p w:rsidR="00000000" w:rsidDel="00000000" w:rsidP="00000000" w:rsidRDefault="00000000" w:rsidRPr="00000000" w14:paraId="0000001F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Gerente de Operações, Líder de TI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% de processos mapeados</w:t>
            </w:r>
          </w:p>
        </w:tc>
      </w:tr>
      <w:tr>
        <w:trPr>
          <w:cantSplit w:val="0"/>
          <w:trHeight w:val="1698.960937499999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Fase 2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Exemplo: Automatizar tarefas frequentes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Identificar candidatos à automação, implementar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Plataforma de automação low-code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Equipe de automação de TI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Tarefas automatizadas/mês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Fase 3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Fase 4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keepNext w:val="0"/>
        <w:keepLines w:val="0"/>
        <w:spacing w:before="280" w:line="276" w:lineRule="auto"/>
        <w:rPr>
          <w:rFonts w:ascii="Inter" w:cs="Inter" w:eastAsia="Inter" w:hAnsi="Inter"/>
          <w:b w:val="1"/>
          <w:color w:val="27272a"/>
          <w:sz w:val="28"/>
          <w:szCs w:val="28"/>
        </w:rPr>
      </w:pPr>
      <w:bookmarkStart w:colFirst="0" w:colLast="0" w:name="_4eiao5dwfpc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before="280" w:line="276" w:lineRule="auto"/>
        <w:rPr>
          <w:rFonts w:ascii="Inter" w:cs="Inter" w:eastAsia="Inter" w:hAnsi="Inter"/>
          <w:b w:val="1"/>
          <w:color w:val="27272a"/>
          <w:sz w:val="28"/>
          <w:szCs w:val="28"/>
        </w:rPr>
      </w:pPr>
      <w:bookmarkStart w:colFirst="0" w:colLast="0" w:name="_6h5rkhhu3c5x" w:id="4"/>
      <w:bookmarkEnd w:id="4"/>
      <w:r w:rsidDel="00000000" w:rsidR="00000000" w:rsidRPr="00000000">
        <w:rPr>
          <w:rFonts w:ascii="Inter" w:cs="Inter" w:eastAsia="Inter" w:hAnsi="Inter"/>
          <w:b w:val="1"/>
          <w:color w:val="27272a"/>
          <w:sz w:val="28"/>
          <w:szCs w:val="28"/>
          <w:rtl w:val="0"/>
        </w:rPr>
        <w:t xml:space="preserve">🔹Etapa 3: Identifique facilitadores e dependências</w:t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Agora, dê um passo atrás e pense no quadro geral. Que estrutura de base precisa existir para que essa transformação tenha sucesso? Não apenas em uma fase, mas ao longo de toda a iniciativa.</w: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Isso inclui dados, maturidade dos processos, governança e quaisquer riscos que </w:t>
      </w:r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precisem</w:t>
      </w:r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 ser gerenciados desde o início.</w:t>
      </w:r>
    </w:p>
    <w:p w:rsidR="00000000" w:rsidDel="00000000" w:rsidP="00000000" w:rsidRDefault="00000000" w:rsidRPr="00000000" w14:paraId="00000038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75.0" w:type="dxa"/>
        <w:jc w:val="left"/>
        <w:tblInd w:w="-7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2100"/>
        <w:gridCol w:w="1980"/>
        <w:gridCol w:w="1995"/>
        <w:gridCol w:w="2475"/>
        <w:tblGridChange w:id="0">
          <w:tblGrid>
            <w:gridCol w:w="2025"/>
            <w:gridCol w:w="2100"/>
            <w:gridCol w:w="1980"/>
            <w:gridCol w:w="1995"/>
            <w:gridCol w:w="24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Elemento</w:t>
            </w:r>
          </w:p>
        </w:tc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O que é necessário</w:t>
            </w:r>
          </w:p>
        </w:tc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Status</w:t>
            </w:r>
          </w:p>
        </w:tc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Responsável / colaborador</w:t>
            </w:r>
          </w:p>
        </w:tc>
        <w:tc>
          <w:tcPr>
            <w:tcBorders>
              <w:top w:color="a4c2f4" w:space="0" w:sz="4" w:val="single"/>
              <w:left w:color="a4c2f4" w:space="0" w:sz="4" w:val="single"/>
              <w:bottom w:color="a1a1aa" w:space="0" w:sz="4" w:val="single"/>
              <w:right w:color="a4c2f4" w:space="0" w:sz="4" w:val="single"/>
            </w:tcBorders>
            <w:shd w:fill="dbeafe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1127.7758789062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Disponibilidade de dados essenciais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Registros de ativos precisos, organogramas,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Incompleto / Finalizado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TI / RH / Financeiro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7758789062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Maturidade dos processos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SLAs definidos, fluxos de trabalho documentados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Baixa / Média / Alta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Gerente de Operações, dono do processo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7758789062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Capacidade de integração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APIs, conectores, compatibilidade entre plataformas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9.6264648437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Prontidão para a mudança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Treinamentos, planos de comunicação, apoio da liderança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Equipe de Transformação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Impedimentos / Riscos conhecidos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Iniciativas concorrentes, restrições técnicas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auto" w:val="clear"/>
            <w:tcMar>
              <w:top w:w="187.2" w:type="dxa"/>
              <w:left w:w="187.2" w:type="dxa"/>
              <w:bottom w:w="187.2" w:type="dxa"/>
              <w:right w:w="187.2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before="280" w:line="276" w:lineRule="auto"/>
        <w:rPr>
          <w:rFonts w:ascii="Inter" w:cs="Inter" w:eastAsia="Inter" w:hAnsi="Inter"/>
          <w:b w:val="1"/>
          <w:color w:val="27272a"/>
          <w:sz w:val="28"/>
          <w:szCs w:val="28"/>
        </w:rPr>
      </w:pPr>
      <w:bookmarkStart w:colFirst="0" w:colLast="0" w:name="_nupcjfwbc4u6" w:id="5"/>
      <w:bookmarkEnd w:id="5"/>
      <w:r w:rsidDel="00000000" w:rsidR="00000000" w:rsidRPr="00000000">
        <w:rPr>
          <w:rFonts w:ascii="Inter" w:cs="Inter" w:eastAsia="Inter" w:hAnsi="Inter"/>
          <w:b w:val="1"/>
          <w:color w:val="27272a"/>
          <w:sz w:val="28"/>
          <w:szCs w:val="28"/>
          <w:rtl w:val="0"/>
        </w:rPr>
        <w:t xml:space="preserve">🔹Etapa 4: Acompanhar o progresso</w:t>
      </w:r>
    </w:p>
    <w:p w:rsidR="00000000" w:rsidDel="00000000" w:rsidP="00000000" w:rsidRDefault="00000000" w:rsidRPr="00000000" w14:paraId="00000059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Fonts w:ascii="Inter" w:cs="Inter" w:eastAsia="Inter" w:hAnsi="Inter"/>
          <w:color w:val="27272a"/>
          <w:rtl w:val="0"/>
        </w:rPr>
        <w:t xml:space="preserve">Os marcos ajudam a manter o projeto no rumo certo e a comunicar o andamento para a liderança. Use esta tabela para definir como será o sucesso e quem será o responsável por conduzi-lo.</w:t>
      </w:r>
    </w:p>
    <w:p w:rsidR="00000000" w:rsidDel="00000000" w:rsidP="00000000" w:rsidRDefault="00000000" w:rsidRPr="00000000" w14:paraId="0000005A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5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1665"/>
        <w:gridCol w:w="1470"/>
        <w:gridCol w:w="2085"/>
        <w:gridCol w:w="2565"/>
        <w:tblGridChange w:id="0">
          <w:tblGrid>
            <w:gridCol w:w="2400"/>
            <w:gridCol w:w="1665"/>
            <w:gridCol w:w="1470"/>
            <w:gridCol w:w="2085"/>
            <w:gridCol w:w="256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Data alvo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shd w:fill="dbeaf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76" w:lineRule="auto"/>
              <w:jc w:val="center"/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Observações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Engajamento das partes interessadas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1º de julho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Em andamento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CIO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Alinhando com RH e Financeiro.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Implementação da ferramenta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15 de 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Não iniciado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IT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Aguardando aprovação do fornecedor.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76" w:lineRule="auto"/>
              <w:rPr>
                <w:rFonts w:ascii="Inter" w:cs="Inter" w:eastAsia="Inter" w:hAnsi="Inter"/>
                <w:b w:val="1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27272a"/>
                <w:rtl w:val="0"/>
              </w:rPr>
              <w:t xml:space="preserve">Implantação para o RH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1º de setembro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-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Operações de RH</w:t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Fonts w:ascii="Inter" w:cs="Inter" w:eastAsia="Inter" w:hAnsi="Inter"/>
                <w:color w:val="27272a"/>
                <w:rtl w:val="0"/>
              </w:rPr>
              <w:t xml:space="preserve">-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1a1aa" w:space="0" w:sz="4" w:val="single"/>
              <w:left w:color="a1a1aa" w:space="0" w:sz="4" w:val="single"/>
              <w:bottom w:color="a1a1aa" w:space="0" w:sz="4" w:val="single"/>
              <w:right w:color="a1a1aa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276" w:lineRule="auto"/>
              <w:rPr>
                <w:rFonts w:ascii="Inter" w:cs="Inter" w:eastAsia="Inter" w:hAnsi="Inter"/>
                <w:color w:val="27272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240" w:before="240" w:line="276" w:lineRule="auto"/>
        <w:rPr>
          <w:rFonts w:ascii="Inter" w:cs="Inter" w:eastAsia="Inter" w:hAnsi="Inter"/>
          <w:color w:val="2727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vgate.com/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invgate.com/p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