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ind w:firstLine="0"/>
        <w:rPr>
          <w:b w:val="1"/>
          <w:color w:val="09090b"/>
        </w:rPr>
      </w:pPr>
      <w:bookmarkStart w:colFirst="0" w:colLast="0" w:name="_fafbpgi9oyta" w:id="0"/>
      <w:bookmarkEnd w:id="0"/>
      <w:hyperlink r:id="rId6">
        <w:r w:rsidDel="00000000" w:rsidR="00000000" w:rsidRPr="00000000">
          <w:rPr>
            <w:b w:val="1"/>
            <w:color w:val="1155cc"/>
            <w:u w:val="single"/>
          </w:rPr>
          <w:drawing>
            <wp:inline distB="0" distT="0" distL="0" distR="0">
              <wp:extent cx="6376988" cy="716829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637" l="0" r="0" t="63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6988" cy="71682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280" w:lineRule="auto"/>
        <w:rPr>
          <w:rFonts w:ascii="Inter" w:cs="Inter" w:eastAsia="Inter" w:hAnsi="Inter"/>
          <w:b w:val="1"/>
          <w:color w:val="09090b"/>
        </w:rPr>
      </w:pPr>
      <w:bookmarkStart w:colFirst="0" w:colLast="0" w:name="_cwo8squp93pw" w:id="1"/>
      <w:bookmarkEnd w:id="1"/>
      <w:r w:rsidDel="00000000" w:rsidR="00000000" w:rsidRPr="00000000">
        <w:rPr>
          <w:rFonts w:ascii="Inter" w:cs="Inter" w:eastAsia="Inter" w:hAnsi="Inter"/>
          <w:b w:val="1"/>
          <w:color w:val="09090b"/>
          <w:rtl w:val="0"/>
        </w:rPr>
        <w:t xml:space="preserve">Digital Transformation Roadmap - Template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Welcome to your digital transformation roadmap template. Follow this guide to plan, prioritize, and execute digital initiatives across different parts of your organization.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You’ll find instructions, examples, and fillable tables. You can copy/paste this into your workspace or turn it into a shared document.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Thanks for downloading this template! For more information, visit us at </w:t>
      </w:r>
      <w:hyperlink r:id="rId8">
        <w:r w:rsidDel="00000000" w:rsidR="00000000" w:rsidRPr="00000000">
          <w:rPr>
            <w:rtl w:val="0"/>
          </w:rPr>
          <w:t xml:space="preserve">www.invgate.com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rPr>
          <w:rFonts w:ascii="Inter" w:cs="Inter" w:eastAsia="Inter" w:hAnsi="Inter"/>
          <w:sz w:val="28"/>
          <w:szCs w:val="28"/>
        </w:rPr>
      </w:pPr>
      <w:bookmarkStart w:colFirst="0" w:colLast="0" w:name="_t92syvgrw0df" w:id="2"/>
      <w:bookmarkEnd w:id="2"/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🔹</w:t>
      </w:r>
      <w:r w:rsidDel="00000000" w:rsidR="00000000" w:rsidRPr="00000000">
        <w:rPr>
          <w:rFonts w:ascii="Inter" w:cs="Inter" w:eastAsia="Inter" w:hAnsi="Inter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rtl w:val="0"/>
        </w:rPr>
        <w:t xml:space="preserve">Step 1: Define the initiative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spacing w:after="240" w:before="24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Start by scoping each initiative. It doesn’t have to cover your entire business. You can build separate tracks for IT, HR, operations, or customer-facing teams. The important part is being specific about what you’re transforming and why.</w:t>
      </w: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7410"/>
        <w:tblGridChange w:id="0">
          <w:tblGrid>
            <w:gridCol w:w="2910"/>
            <w:gridCol w:w="7410"/>
          </w:tblGrid>
        </w:tblGridChange>
      </w:tblGrid>
      <w:tr>
        <w:trPr>
          <w:cantSplit w:val="0"/>
          <w:trHeight w:val="515" w:hRule="atLeast"/>
          <w:tblHeader w:val="1"/>
        </w:trPr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c9daf8" w:space="0" w:sz="4" w:val="single"/>
              <w:right w:color="c9daf8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/ Initiative Name</w:t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Short label to identify the roadmap (e.g. “HR Process Modernization” or “Unified Service Portal”).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Department /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Area of the business the roadmap supports.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Business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Clear, measurable goal this roadmap ties into.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Start Date /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Expected timeline.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Inter" w:cs="Inter" w:eastAsia="Inter" w:hAnsi="Inter"/>
        </w:rPr>
      </w:pPr>
      <w:bookmarkStart w:colFirst="0" w:colLast="0" w:name="_nhyk08g3odq7" w:id="3"/>
      <w:bookmarkEnd w:id="3"/>
      <w:r w:rsidDel="00000000" w:rsidR="00000000" w:rsidRPr="00000000">
        <w:rPr>
          <w:rFonts w:ascii="Inter" w:cs="Inter" w:eastAsia="Inter" w:hAnsi="Inter"/>
          <w:rtl w:val="0"/>
        </w:rPr>
        <w:t xml:space="preserve">🔹 Step 2: Break it into phases</w:t>
      </w:r>
    </w:p>
    <w:p w:rsidR="00000000" w:rsidDel="00000000" w:rsidP="00000000" w:rsidRDefault="00000000" w:rsidRPr="00000000" w14:paraId="00000014">
      <w:pPr>
        <w:rPr>
          <w:rFonts w:ascii="Inter" w:cs="Inter" w:eastAsia="Inter" w:hAnsi="Inter"/>
          <w:i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Each phase should have a clear goal, a few enabling activities, and a way to measure progress. You can define 2-4 phases per initiative, depending on its complexity.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Tip: Keep your goals narrow. “Improve service delivery speed by 30%” is more useful than “modernize operations.”</w:t>
      </w:r>
      <w:r w:rsidDel="00000000" w:rsidR="00000000" w:rsidRPr="00000000">
        <w:rPr>
          <w:rFonts w:ascii="Inter" w:cs="Inter" w:eastAsia="Inter" w:hAnsi="Inter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420" w:tblpY="0"/>
        <w:tblW w:w="10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1620"/>
        <w:gridCol w:w="1680"/>
        <w:gridCol w:w="1650"/>
        <w:gridCol w:w="1860"/>
        <w:gridCol w:w="2355"/>
        <w:tblGridChange w:id="0">
          <w:tblGrid>
            <w:gridCol w:w="1230"/>
            <w:gridCol w:w="1620"/>
            <w:gridCol w:w="1680"/>
            <w:gridCol w:w="1650"/>
            <w:gridCol w:w="1860"/>
            <w:gridCol w:w="235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c9daf8" w:space="0" w:sz="4" w:val="single"/>
              <w:left w:color="c9daf8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Key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Tools / Enablers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c9daf8" w:space="0" w:sz="4" w:val="single"/>
            </w:tcBorders>
            <w:shd w:fill="dbeafe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Metrics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 1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e.g. Map existing workflows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Conduct interviews, document touchpoints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Workflow mapping tool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Operations Manager, IT Lead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% of mapped processes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 2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e.g. Automate frequent tasks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Identify automation candidates, implement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Low-code automation platform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IT automation team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Tasks automated/month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 3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 4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before="280" w:lineRule="auto"/>
        <w:rPr>
          <w:rFonts w:ascii="Inter" w:cs="Inter" w:eastAsia="Inter" w:hAnsi="Inter"/>
        </w:rPr>
      </w:pPr>
      <w:bookmarkStart w:colFirst="0" w:colLast="0" w:name="_dh3k8urwpxqo" w:id="4"/>
      <w:bookmarkEnd w:id="4"/>
      <w:r w:rsidDel="00000000" w:rsidR="00000000" w:rsidRPr="00000000">
        <w:rPr>
          <w:rFonts w:ascii="Inter" w:cs="Inter" w:eastAsia="Inter" w:hAnsi="Inter"/>
          <w:rtl w:val="0"/>
        </w:rPr>
        <w:t xml:space="preserve">🔹Step 3: Identify enablers and dependencies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Now step back and think about the bigger picture. What </w:t>
      </w:r>
      <w:r w:rsidDel="00000000" w:rsidR="00000000" w:rsidRPr="00000000">
        <w:rPr>
          <w:rFonts w:ascii="Inter" w:cs="Inter" w:eastAsia="Inter" w:hAnsi="Inter"/>
          <w:rtl w:val="0"/>
        </w:rPr>
        <w:t xml:space="preserve">underlying structure</w:t>
      </w:r>
      <w:r w:rsidDel="00000000" w:rsidR="00000000" w:rsidRPr="00000000">
        <w:rPr>
          <w:rFonts w:ascii="Inter" w:cs="Inter" w:eastAsia="Inter" w:hAnsi="Inter"/>
          <w:rtl w:val="0"/>
        </w:rPr>
        <w:t xml:space="preserve"> must exist for this transformation to succeed, not just in one phase, but across the entire initiative?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This includes </w:t>
      </w:r>
      <w:r w:rsidDel="00000000" w:rsidR="00000000" w:rsidRPr="00000000">
        <w:rPr>
          <w:rFonts w:ascii="Inter" w:cs="Inter" w:eastAsia="Inter" w:hAnsi="Inter"/>
          <w:rtl w:val="0"/>
        </w:rPr>
        <w:t xml:space="preserve">data, process readiness, governance, and any risks </w:t>
      </w:r>
      <w:r w:rsidDel="00000000" w:rsidR="00000000" w:rsidRPr="00000000">
        <w:rPr>
          <w:rFonts w:ascii="Inter" w:cs="Inter" w:eastAsia="Inter" w:hAnsi="Inter"/>
          <w:rtl w:val="0"/>
        </w:rPr>
        <w:t xml:space="preserve">you need to manage up front.</w:t>
      </w:r>
    </w:p>
    <w:tbl>
      <w:tblPr>
        <w:tblStyle w:val="Table3"/>
        <w:tblW w:w="10575.0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1995"/>
        <w:gridCol w:w="2085"/>
        <w:gridCol w:w="1905"/>
        <w:gridCol w:w="2565"/>
        <w:tblGridChange w:id="0">
          <w:tblGrid>
            <w:gridCol w:w="2025"/>
            <w:gridCol w:w="1995"/>
            <w:gridCol w:w="2085"/>
            <w:gridCol w:w="190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Element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What’s needed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Status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Owner / contributor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Notes</w:t>
            </w:r>
          </w:p>
        </w:tc>
      </w:tr>
      <w:tr>
        <w:trPr>
          <w:cantSplit w:val="0"/>
          <w:trHeight w:val="1127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Core data availability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Accurate asset records, org charts, etc.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Incomplete / OK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IT / HR / Finance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Process maturity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Clear SLAs, documented workflows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Low / Medium / High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Ops manager, process owner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Integration capabilities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APIs, connectors, platform compatibility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.6264648437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Change readiness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Training, communication plans, leadership buy-in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Transformation team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Known blockers / risks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Competing initiatives, technical constraints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auto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before="280" w:lineRule="auto"/>
        <w:rPr>
          <w:rFonts w:ascii="Inter" w:cs="Inter" w:eastAsia="Inter" w:hAnsi="Inter"/>
        </w:rPr>
      </w:pPr>
      <w:bookmarkStart w:colFirst="0" w:colLast="0" w:name="_h6jvzqg2u79m" w:id="5"/>
      <w:bookmarkEnd w:id="5"/>
      <w:r w:rsidDel="00000000" w:rsidR="00000000" w:rsidRPr="00000000">
        <w:rPr>
          <w:rFonts w:ascii="Inter" w:cs="Inter" w:eastAsia="Inter" w:hAnsi="Inter"/>
          <w:rtl w:val="0"/>
        </w:rPr>
        <w:t xml:space="preserve">🔹Step 4: Tracking progress</w:t>
      </w:r>
    </w:p>
    <w:p w:rsidR="00000000" w:rsidDel="00000000" w:rsidP="00000000" w:rsidRDefault="00000000" w:rsidRPr="00000000" w14:paraId="00000058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Milestones help you stay on track and communicate progress to leadership. Use this table to define what success looks like and who’s driving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650"/>
        <w:gridCol w:w="1305"/>
        <w:gridCol w:w="1575"/>
        <w:gridCol w:w="3075"/>
        <w:tblGridChange w:id="0">
          <w:tblGrid>
            <w:gridCol w:w="2580"/>
            <w:gridCol w:w="1650"/>
            <w:gridCol w:w="1305"/>
            <w:gridCol w:w="1575"/>
            <w:gridCol w:w="30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Milestone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Target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Owner(s)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buy-in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July 1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In progress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CIO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Aligning with HR and Finance.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implementation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August 15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Not started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IT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Waiting on vendor sign-off.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Rollout to HR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September 1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-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HR Ops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-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color w:val="27272a"/>
        <w:sz w:val="22"/>
        <w:szCs w:val="22"/>
        <w:lang w:val="en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8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vgate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invgat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